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A2F72" w14:textId="4C83B448" w:rsidR="00505A46" w:rsidRDefault="00505A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Incontinentia pigmenti</w:t>
      </w:r>
    </w:p>
    <w:p w14:paraId="73A7FB18" w14:textId="6B30F9F2" w:rsidR="00505A46" w:rsidRDefault="00505A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MUDr. Eliška Staňková</w:t>
      </w:r>
    </w:p>
    <w:p w14:paraId="50F1B811" w14:textId="331DABDB" w:rsidR="00505A46" w:rsidRDefault="00505A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Dermatovenerologické oddělení, Nemocnice České Budějovice, a.s.</w:t>
      </w:r>
    </w:p>
    <w:p w14:paraId="4DC12DAE" w14:textId="0BC6E94E" w:rsidR="00505A46" w:rsidRDefault="00A708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Incontinentia pigmenti je neuroektodermální onemocnění projevující se v prvních dnech po narození. Je doprovázen charakteristickými kožními příznaky, často i závažnými systémovými příznaky. Jedná se o genodermatózu se sporadickým i familiárním výskytem. Onemocnění má dominant</w:t>
      </w:r>
      <w:r w:rsidR="00FA08A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í dědičnost s vazbou na pohlaví. Letální je pro mužské pohlaví, které odumírá již v děloze. </w:t>
      </w:r>
    </w:p>
    <w:p w14:paraId="27E07975" w14:textId="2B8A59C5" w:rsidR="00A7082C" w:rsidRDefault="00A708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Kožní příznaky mají 4 stádia, která se mohou překrývat, eventuelně některé může chybět.</w:t>
      </w:r>
    </w:p>
    <w:p w14:paraId="75A29A1A" w14:textId="24D3F537" w:rsidR="00A7082C" w:rsidRDefault="00A708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První stádium, vezikulózní, začíná v prvním týdnu života</w:t>
      </w:r>
      <w:r w:rsidR="00C36488">
        <w:rPr>
          <w:rFonts w:ascii="Times New Roman" w:hAnsi="Times New Roman" w:cs="Times New Roman"/>
          <w:sz w:val="24"/>
          <w:szCs w:val="24"/>
        </w:rPr>
        <w:t xml:space="preserve"> v podobě drobných puchýřků na končetinách a trupu.</w:t>
      </w:r>
      <w:r w:rsidR="00394E40">
        <w:rPr>
          <w:rFonts w:ascii="Times New Roman" w:hAnsi="Times New Roman" w:cs="Times New Roman"/>
          <w:sz w:val="24"/>
          <w:szCs w:val="24"/>
        </w:rPr>
        <w:t xml:space="preserve"> </w:t>
      </w:r>
      <w:r w:rsidR="00C36488">
        <w:rPr>
          <w:rFonts w:ascii="Times New Roman" w:hAnsi="Times New Roman" w:cs="Times New Roman"/>
          <w:sz w:val="24"/>
          <w:szCs w:val="24"/>
        </w:rPr>
        <w:t>Uspořádány jsou v pruzích  či ložiscích kopírující Blaschkeho linie.</w:t>
      </w:r>
      <w:r w:rsidR="004D18D5">
        <w:rPr>
          <w:rFonts w:ascii="Times New Roman" w:hAnsi="Times New Roman" w:cs="Times New Roman"/>
          <w:sz w:val="24"/>
          <w:szCs w:val="24"/>
        </w:rPr>
        <w:t xml:space="preserve"> </w:t>
      </w:r>
      <w:r w:rsidR="00C36488">
        <w:rPr>
          <w:rFonts w:ascii="Times New Roman" w:hAnsi="Times New Roman" w:cs="Times New Roman"/>
          <w:sz w:val="24"/>
          <w:szCs w:val="24"/>
        </w:rPr>
        <w:t>V místech výsevů dochází nejprve k zarudnutí pokožky.</w:t>
      </w:r>
      <w:r w:rsidR="004D18D5">
        <w:rPr>
          <w:rFonts w:ascii="Times New Roman" w:hAnsi="Times New Roman" w:cs="Times New Roman"/>
          <w:sz w:val="24"/>
          <w:szCs w:val="24"/>
        </w:rPr>
        <w:t xml:space="preserve"> </w:t>
      </w:r>
      <w:r w:rsidR="00C36488">
        <w:rPr>
          <w:rFonts w:ascii="Times New Roman" w:hAnsi="Times New Roman" w:cs="Times New Roman"/>
          <w:sz w:val="24"/>
          <w:szCs w:val="24"/>
        </w:rPr>
        <w:t>Puchýřky se odhojují do jednoho až dvou týdnů, s následnou recidivou.</w:t>
      </w:r>
      <w:r w:rsidR="004D18D5">
        <w:rPr>
          <w:rFonts w:ascii="Times New Roman" w:hAnsi="Times New Roman" w:cs="Times New Roman"/>
          <w:sz w:val="24"/>
          <w:szCs w:val="24"/>
        </w:rPr>
        <w:t xml:space="preserve"> </w:t>
      </w:r>
      <w:r w:rsidR="00C36488">
        <w:rPr>
          <w:rFonts w:ascii="Times New Roman" w:hAnsi="Times New Roman" w:cs="Times New Roman"/>
          <w:sz w:val="24"/>
          <w:szCs w:val="24"/>
        </w:rPr>
        <w:t>Kolem šestého měsíce života přechází t</w:t>
      </w:r>
      <w:r w:rsidR="00FA08A8">
        <w:rPr>
          <w:rFonts w:ascii="Times New Roman" w:hAnsi="Times New Roman" w:cs="Times New Roman"/>
          <w:sz w:val="24"/>
          <w:szCs w:val="24"/>
        </w:rPr>
        <w:t>oto stádium</w:t>
      </w:r>
      <w:r w:rsidR="00C36488">
        <w:rPr>
          <w:rFonts w:ascii="Times New Roman" w:hAnsi="Times New Roman" w:cs="Times New Roman"/>
          <w:sz w:val="24"/>
          <w:szCs w:val="24"/>
        </w:rPr>
        <w:t xml:space="preserve"> do druhého stá</w:t>
      </w:r>
      <w:r w:rsidR="004D18D5">
        <w:rPr>
          <w:rFonts w:ascii="Times New Roman" w:hAnsi="Times New Roman" w:cs="Times New Roman"/>
          <w:sz w:val="24"/>
          <w:szCs w:val="24"/>
        </w:rPr>
        <w:t>dia</w:t>
      </w:r>
      <w:r w:rsidR="00C36488">
        <w:rPr>
          <w:rFonts w:ascii="Times New Roman" w:hAnsi="Times New Roman" w:cs="Times New Roman"/>
          <w:sz w:val="24"/>
          <w:szCs w:val="24"/>
        </w:rPr>
        <w:t>, verukózního, jenž  trvá do tří let věku.</w:t>
      </w:r>
      <w:r w:rsidR="004D18D5">
        <w:rPr>
          <w:rFonts w:ascii="Times New Roman" w:hAnsi="Times New Roman" w:cs="Times New Roman"/>
          <w:sz w:val="24"/>
          <w:szCs w:val="24"/>
        </w:rPr>
        <w:t xml:space="preserve"> </w:t>
      </w:r>
      <w:r w:rsidR="00C36488">
        <w:rPr>
          <w:rFonts w:ascii="Times New Roman" w:hAnsi="Times New Roman" w:cs="Times New Roman"/>
          <w:sz w:val="24"/>
          <w:szCs w:val="24"/>
        </w:rPr>
        <w:t>Na distálních částech končetin se objevují papuly a verukózní léze.</w:t>
      </w:r>
      <w:r w:rsidR="004D18D5">
        <w:rPr>
          <w:rFonts w:ascii="Times New Roman" w:hAnsi="Times New Roman" w:cs="Times New Roman"/>
          <w:sz w:val="24"/>
          <w:szCs w:val="24"/>
        </w:rPr>
        <w:t xml:space="preserve"> </w:t>
      </w:r>
      <w:r w:rsidR="00C36488">
        <w:rPr>
          <w:rFonts w:ascii="Times New Roman" w:hAnsi="Times New Roman" w:cs="Times New Roman"/>
          <w:sz w:val="24"/>
          <w:szCs w:val="24"/>
        </w:rPr>
        <w:t>Třetí stádum, hyperpigmentace, začíná v šestém měsící, někdy až kolem druhého</w:t>
      </w:r>
      <w:r w:rsidR="004D18D5">
        <w:rPr>
          <w:rFonts w:ascii="Times New Roman" w:hAnsi="Times New Roman" w:cs="Times New Roman"/>
          <w:sz w:val="24"/>
          <w:szCs w:val="24"/>
        </w:rPr>
        <w:t>,</w:t>
      </w:r>
      <w:r w:rsidR="00C36488">
        <w:rPr>
          <w:rFonts w:ascii="Times New Roman" w:hAnsi="Times New Roman" w:cs="Times New Roman"/>
          <w:sz w:val="24"/>
          <w:szCs w:val="24"/>
        </w:rPr>
        <w:t>třetího roku života</w:t>
      </w:r>
      <w:r w:rsidR="004D18D5">
        <w:rPr>
          <w:rFonts w:ascii="Times New Roman" w:hAnsi="Times New Roman" w:cs="Times New Roman"/>
          <w:sz w:val="24"/>
          <w:szCs w:val="24"/>
        </w:rPr>
        <w:t xml:space="preserve"> </w:t>
      </w:r>
      <w:r w:rsidR="00FA08A8">
        <w:rPr>
          <w:rFonts w:ascii="Times New Roman" w:hAnsi="Times New Roman" w:cs="Times New Roman"/>
          <w:sz w:val="24"/>
          <w:szCs w:val="24"/>
        </w:rPr>
        <w:t xml:space="preserve"> a přetrvává </w:t>
      </w:r>
      <w:r w:rsidR="004D18D5">
        <w:rPr>
          <w:rFonts w:ascii="Times New Roman" w:hAnsi="Times New Roman" w:cs="Times New Roman"/>
          <w:sz w:val="24"/>
          <w:szCs w:val="24"/>
        </w:rPr>
        <w:t xml:space="preserve">do puberty. </w:t>
      </w:r>
      <w:r w:rsidR="00C36488">
        <w:rPr>
          <w:rFonts w:ascii="Times New Roman" w:hAnsi="Times New Roman" w:cs="Times New Roman"/>
          <w:sz w:val="24"/>
          <w:szCs w:val="24"/>
        </w:rPr>
        <w:t>V místech p</w:t>
      </w:r>
      <w:r w:rsidR="00394E40">
        <w:rPr>
          <w:rFonts w:ascii="Times New Roman" w:hAnsi="Times New Roman" w:cs="Times New Roman"/>
          <w:sz w:val="24"/>
          <w:szCs w:val="24"/>
        </w:rPr>
        <w:t>ů</w:t>
      </w:r>
      <w:r w:rsidR="00C36488">
        <w:rPr>
          <w:rFonts w:ascii="Times New Roman" w:hAnsi="Times New Roman" w:cs="Times New Roman"/>
          <w:sz w:val="24"/>
          <w:szCs w:val="24"/>
        </w:rPr>
        <w:t xml:space="preserve">vodních výsevů puchýřků </w:t>
      </w:r>
      <w:r w:rsidR="00394E40">
        <w:rPr>
          <w:rFonts w:ascii="Times New Roman" w:hAnsi="Times New Roman" w:cs="Times New Roman"/>
          <w:sz w:val="24"/>
          <w:szCs w:val="24"/>
        </w:rPr>
        <w:t>se objevují hyperpigmentace se zvláštní pruhovitou konfigurací.</w:t>
      </w:r>
      <w:r w:rsidR="00FA08A8">
        <w:rPr>
          <w:rFonts w:ascii="Times New Roman" w:hAnsi="Times New Roman" w:cs="Times New Roman"/>
          <w:sz w:val="24"/>
          <w:szCs w:val="24"/>
        </w:rPr>
        <w:t xml:space="preserve"> </w:t>
      </w:r>
      <w:r w:rsidR="004D18D5">
        <w:rPr>
          <w:rFonts w:ascii="Times New Roman" w:hAnsi="Times New Roman" w:cs="Times New Roman"/>
          <w:sz w:val="24"/>
          <w:szCs w:val="24"/>
        </w:rPr>
        <w:t>Nasledující čtvrté st</w:t>
      </w:r>
      <w:r w:rsidR="000F531B">
        <w:rPr>
          <w:rFonts w:ascii="Times New Roman" w:hAnsi="Times New Roman" w:cs="Times New Roman"/>
          <w:sz w:val="24"/>
          <w:szCs w:val="24"/>
        </w:rPr>
        <w:t>á</w:t>
      </w:r>
      <w:r w:rsidR="004D18D5">
        <w:rPr>
          <w:rFonts w:ascii="Times New Roman" w:hAnsi="Times New Roman" w:cs="Times New Roman"/>
          <w:sz w:val="24"/>
          <w:szCs w:val="24"/>
        </w:rPr>
        <w:t>dium, atrofické, se objevuje v dospělosti a jen u některých žen.</w:t>
      </w:r>
      <w:r w:rsidR="00FA08A8">
        <w:rPr>
          <w:rFonts w:ascii="Times New Roman" w:hAnsi="Times New Roman" w:cs="Times New Roman"/>
          <w:sz w:val="24"/>
          <w:szCs w:val="24"/>
        </w:rPr>
        <w:t xml:space="preserve"> P</w:t>
      </w:r>
      <w:r w:rsidR="004D18D5">
        <w:rPr>
          <w:rFonts w:ascii="Times New Roman" w:hAnsi="Times New Roman" w:cs="Times New Roman"/>
          <w:sz w:val="24"/>
          <w:szCs w:val="24"/>
        </w:rPr>
        <w:t>rojevuje se  pruhovitými depigmentacemi s </w:t>
      </w:r>
      <w:r w:rsidR="00E358C4">
        <w:rPr>
          <w:rFonts w:ascii="Times New Roman" w:hAnsi="Times New Roman" w:cs="Times New Roman"/>
          <w:sz w:val="24"/>
          <w:szCs w:val="24"/>
        </w:rPr>
        <w:t>m</w:t>
      </w:r>
      <w:r w:rsidR="004D18D5">
        <w:rPr>
          <w:rFonts w:ascii="Times New Roman" w:hAnsi="Times New Roman" w:cs="Times New Roman"/>
          <w:sz w:val="24"/>
          <w:szCs w:val="24"/>
        </w:rPr>
        <w:t>írnou atrofií v místech původního výsevu.</w:t>
      </w:r>
    </w:p>
    <w:p w14:paraId="12C55A7D" w14:textId="72731080" w:rsidR="00E358C4" w:rsidRDefault="00E358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Mohou se objevovat i změny v oblasti nehtů,</w:t>
      </w:r>
      <w:r w:rsidR="00FA08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 podobě dolíčkování, rýhování, vzniku podnehtových hyperkeratóz. </w:t>
      </w:r>
      <w:r w:rsidR="000F531B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asto bývá  alopecie v temenní oblasti.</w:t>
      </w:r>
    </w:p>
    <w:p w14:paraId="648A0B98" w14:textId="56173DBB" w:rsidR="00E358C4" w:rsidRDefault="00E358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Mezi systémové příznaky patří  abnormality  zubů, CNS a oční příznaky.</w:t>
      </w:r>
    </w:p>
    <w:p w14:paraId="51704550" w14:textId="0827C63D" w:rsidR="000F531B" w:rsidRDefault="000F53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diagnostice hraje důležitou roli dermatolog, který jako první vysloví podezření na tuto kl</w:t>
      </w:r>
      <w:r w:rsidR="00FA08A8">
        <w:rPr>
          <w:rFonts w:ascii="Times New Roman" w:hAnsi="Times New Roman" w:cs="Times New Roman"/>
          <w:sz w:val="24"/>
          <w:szCs w:val="24"/>
        </w:rPr>
        <w:t>inickou</w:t>
      </w:r>
      <w:r>
        <w:rPr>
          <w:rFonts w:ascii="Times New Roman" w:hAnsi="Times New Roman" w:cs="Times New Roman"/>
          <w:sz w:val="24"/>
          <w:szCs w:val="24"/>
        </w:rPr>
        <w:t xml:space="preserve"> jednotku. </w:t>
      </w:r>
      <w:r w:rsidR="00E215F2">
        <w:rPr>
          <w:rFonts w:ascii="Times New Roman" w:hAnsi="Times New Roman" w:cs="Times New Roman"/>
          <w:sz w:val="24"/>
          <w:szCs w:val="24"/>
        </w:rPr>
        <w:t>Následně</w:t>
      </w:r>
      <w:r>
        <w:rPr>
          <w:rFonts w:ascii="Times New Roman" w:hAnsi="Times New Roman" w:cs="Times New Roman"/>
          <w:sz w:val="24"/>
          <w:szCs w:val="24"/>
        </w:rPr>
        <w:t xml:space="preserve"> je potvrzena lékařským genetikem. Vzhledem k možným systémovým příznakům je nutná mezioborová spolupráce s neurologem, oftalmologem, stomatologem a kardiologem.</w:t>
      </w:r>
    </w:p>
    <w:p w14:paraId="54A81E47" w14:textId="3A5DC799" w:rsidR="00E358C4" w:rsidRDefault="000F53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Kauzální terapie neexistuje</w:t>
      </w:r>
      <w:r w:rsidR="00FA08A8">
        <w:rPr>
          <w:rFonts w:ascii="Times New Roman" w:hAnsi="Times New Roman" w:cs="Times New Roman"/>
          <w:sz w:val="24"/>
          <w:szCs w:val="24"/>
        </w:rPr>
        <w:t>. Nezbytná je</w:t>
      </w:r>
      <w:r>
        <w:rPr>
          <w:rFonts w:ascii="Times New Roman" w:hAnsi="Times New Roman" w:cs="Times New Roman"/>
          <w:sz w:val="24"/>
          <w:szCs w:val="24"/>
        </w:rPr>
        <w:t xml:space="preserve"> dispenzární péče u jednotlivých specialistů, včetně možnosti preimplantační </w:t>
      </w:r>
      <w:r w:rsidR="00926FB9">
        <w:rPr>
          <w:rFonts w:ascii="Times New Roman" w:hAnsi="Times New Roman" w:cs="Times New Roman"/>
          <w:sz w:val="24"/>
          <w:szCs w:val="24"/>
        </w:rPr>
        <w:t>genetické diagnostiky.</w:t>
      </w:r>
    </w:p>
    <w:p w14:paraId="0FE78AE9" w14:textId="358DF6D3" w:rsidR="00926FB9" w:rsidRDefault="00926F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Sdělení obsahuje i kazuistiku z praxe s </w:t>
      </w:r>
      <w:r w:rsidR="00FA08A8">
        <w:rPr>
          <w:rFonts w:ascii="Times New Roman" w:hAnsi="Times New Roman" w:cs="Times New Roman"/>
          <w:sz w:val="24"/>
          <w:szCs w:val="24"/>
        </w:rPr>
        <w:t>bohatou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08A8">
        <w:rPr>
          <w:rFonts w:ascii="Times New Roman" w:hAnsi="Times New Roman" w:cs="Times New Roman"/>
          <w:sz w:val="24"/>
          <w:szCs w:val="24"/>
        </w:rPr>
        <w:t>foto</w:t>
      </w:r>
      <w:r>
        <w:rPr>
          <w:rFonts w:ascii="Times New Roman" w:hAnsi="Times New Roman" w:cs="Times New Roman"/>
          <w:sz w:val="24"/>
          <w:szCs w:val="24"/>
        </w:rPr>
        <w:t>dokumentací</w:t>
      </w:r>
      <w:r w:rsidR="00FA08A8">
        <w:rPr>
          <w:rFonts w:ascii="Times New Roman" w:hAnsi="Times New Roman" w:cs="Times New Roman"/>
          <w:sz w:val="24"/>
          <w:szCs w:val="24"/>
        </w:rPr>
        <w:t>, popisující vývoj incontinentia pigmenti v časovém sledu.</w:t>
      </w:r>
    </w:p>
    <w:p w14:paraId="3BB504CB" w14:textId="77777777" w:rsidR="004D18D5" w:rsidRDefault="004D18D5"/>
    <w:sectPr w:rsidR="004D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A46"/>
    <w:rsid w:val="000F531B"/>
    <w:rsid w:val="00394E40"/>
    <w:rsid w:val="004C3399"/>
    <w:rsid w:val="004D18D5"/>
    <w:rsid w:val="00505A46"/>
    <w:rsid w:val="00926FB9"/>
    <w:rsid w:val="00A7082C"/>
    <w:rsid w:val="00C36488"/>
    <w:rsid w:val="00DA1D8C"/>
    <w:rsid w:val="00E215F2"/>
    <w:rsid w:val="00E358C4"/>
    <w:rsid w:val="00FA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EEB7C"/>
  <w15:chartTrackingRefBased/>
  <w15:docId w15:val="{750DD75C-FBA2-431A-B345-731C182C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319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Natálie</dc:creator>
  <cp:keywords/>
  <dc:description/>
  <cp:lastModifiedBy>Svobodová Natálie</cp:lastModifiedBy>
  <cp:revision>6</cp:revision>
  <dcterms:created xsi:type="dcterms:W3CDTF">2023-02-11T14:08:00Z</dcterms:created>
  <dcterms:modified xsi:type="dcterms:W3CDTF">2023-02-12T19:31:00Z</dcterms:modified>
</cp:coreProperties>
</file>